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65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40"/>
          <w:szCs w:val="40"/>
          <w:u w:val="none"/>
        </w:rPr>
      </w:pPr>
      <w:r>
        <w:rPr>
          <w:rFonts w:hint="eastAsia" w:ascii="微软雅黑" w:hAnsi="微软雅黑" w:cs="微软雅黑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  <w:t>华天双语学校</w:t>
      </w:r>
      <w:r>
        <w:rPr>
          <w:rStyle w:val="7"/>
          <w:rFonts w:hint="default"/>
          <w:sz w:val="40"/>
          <w:szCs w:val="40"/>
        </w:rPr>
        <w:t>校园吉尼斯大赛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为进一步活跃校园文化，丰富我校学生校园生活，关注学生发展，增强学生身体素质，展示当代学生敢于挑战、积极进取、勇于拼搏的良好风貌，培养全面发展的新世纪学生，我校特此举办第一届校园吉尼斯大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、活动时间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日（每学期前一个月可向原纪录保持者发起挑战）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、活动地点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操场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、活动对象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华天双语学校小学部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三至六年级学生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四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、举办单位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主办单位：华天双语学校体育组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合作单位：小学部广播站、校报、校官方网站等（提前联系）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、活动流程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第一部分：校园吉尼斯大赛前期宣传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第二部分：校园吉尼斯大赛报名方法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第三部分：校园吉尼斯大赛内容及流程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firstLine="482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第一部分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校园吉尼斯大赛前期宣传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1、海报宣传：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（由校体育组）制作海报若干，于比赛前两星期内张贴于校园人流密集处、校内宣传栏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注：宣传包括比赛时间、比赛地点、比赛项目、比赛规则及报名方式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2、广播宣传：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联系小学部广播站于大赛开始前一周对本次大赛进行宣传，宣传内容包括活动概述、比赛时间、地点及报名方式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2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第二部分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校园吉尼斯大赛报名方式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1、报名时间：大赛开始前两周（每学期末前一个月）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2、报名方式：以班级为单位组织参赛，由体育组将报名表下发到各班，由各班做好班内报名登记。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4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大赛设监督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组和记录组监督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小组对比赛的正常进行和公平的开展做好监督工作，大赛争议性问题由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委员会处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4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校园吉尼斯监督委员会：王新刚，袁源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4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校园吉尼斯记录员：黄临春，吴奇龙，朱利杰，王秀，潘建锦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482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第三部分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校园吉尼斯大赛内容及流程策划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日3：25分开始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地点：操场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　注：以上各项次序依实际情况作最终安排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440" w:leftChars="0"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参赛项目安排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一分钟跳绳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11月17日黄临春负责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一分钟仰卧起坐（手肘触碰膝盖为标准）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11月17日朱利杰负责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　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3.3坐位体前屈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11月17日王秀负责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立定跳远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11月17日潘建锦负责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定点投篮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5个点每个点2个球）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11月17日吴奇龙负责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足球绕杆（取时长）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11月17日黄临春负责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zYzYTVhYzExZDk4ZWMwZTZkOGRhODI0YjFhYTQifQ=="/>
  </w:docVars>
  <w:rsids>
    <w:rsidRoot w:val="51F8442C"/>
    <w:rsid w:val="04C64E6C"/>
    <w:rsid w:val="2D581509"/>
    <w:rsid w:val="453B5F44"/>
    <w:rsid w:val="51F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正文 Char"/>
    <w:link w:val="1"/>
    <w:qFormat/>
    <w:uiPriority w:val="0"/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886</Characters>
  <Lines>0</Lines>
  <Paragraphs>0</Paragraphs>
  <TotalTime>5</TotalTime>
  <ScaleCrop>false</ScaleCrop>
  <LinksUpToDate>false</LinksUpToDate>
  <CharactersWithSpaces>954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2023-08-30T05:59:00Z</dcterms:created>
  <dc:creator> 山有木兮 </dc:creator>
  <cp:lastModifiedBy>Administrator</cp:lastModifiedBy>
  <dcterms:modified xsi:type="dcterms:W3CDTF">2023-08-31T03:34:15Z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F9E1D7724DD24AB79E547578BB98D7D4_11</vt:lpwstr>
  </property>
</Properties>
</file>